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3B069F"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3B069F">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9A0870" w:rsidRPr="0050222D" w:rsidRDefault="009A0870" w:rsidP="009A0870">
                  <w:pPr>
                    <w:adjustRightInd w:val="0"/>
                    <w:rPr>
                      <w:rFonts w:ascii="Times New Roman" w:hAnsi="Times New Roman"/>
                      <w:b/>
                      <w:bCs/>
                    </w:rPr>
                  </w:pPr>
                  <w:r w:rsidRPr="0050222D">
                    <w:rPr>
                      <w:rFonts w:ascii="Times New Roman" w:hAnsi="Times New Roman"/>
                      <w:b/>
                      <w:bCs/>
                    </w:rPr>
                    <w:t xml:space="preserve">ПРИНЯТО  </w:t>
                  </w:r>
                </w:p>
                <w:p w:rsidR="009A0870" w:rsidRPr="00B623E3" w:rsidRDefault="009A0870" w:rsidP="009A0870">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9A0870" w:rsidRPr="00640E78" w:rsidRDefault="009A0870" w:rsidP="009A0870">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609D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 xml:space="preserve">9.Повар, кондитер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9B108E">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9A0870"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A0870">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9A087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9A0870"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A0870">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A0870">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9A0870" w:rsidRDefault="005A7071" w:rsidP="005A7071">
            <w:pPr>
              <w:widowControl w:val="0"/>
              <w:autoSpaceDE w:val="0"/>
              <w:autoSpaceDN w:val="0"/>
              <w:spacing w:after="0" w:line="240" w:lineRule="auto"/>
              <w:rPr>
                <w:rFonts w:ascii="Times New Roman" w:hAnsi="Times New Roman" w:cs="Times New Roman"/>
                <w:sz w:val="24"/>
                <w:szCs w:val="24"/>
              </w:rPr>
            </w:pPr>
            <w:r w:rsidRPr="009A0870">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9A0870"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A0870">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9A0870"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A0870">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9A0870" w:rsidRDefault="00AB1DED" w:rsidP="00AB1DED">
            <w:pPr>
              <w:autoSpaceDE w:val="0"/>
              <w:autoSpaceDN w:val="0"/>
              <w:adjustRightInd w:val="0"/>
              <w:jc w:val="both"/>
              <w:rPr>
                <w:rFonts w:ascii="Times New Roman" w:hAnsi="Times New Roman" w:cs="Times New Roman"/>
                <w:sz w:val="24"/>
                <w:szCs w:val="24"/>
              </w:rPr>
            </w:pPr>
            <w:r w:rsidRPr="009A0870">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9A0870">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9A0870" w:rsidRDefault="00AB1DED" w:rsidP="00AB1DED">
            <w:pPr>
              <w:autoSpaceDE w:val="0"/>
              <w:autoSpaceDN w:val="0"/>
              <w:adjustRightInd w:val="0"/>
              <w:jc w:val="both"/>
              <w:rPr>
                <w:rFonts w:ascii="Times New Roman" w:hAnsi="Times New Roman" w:cs="Times New Roman"/>
                <w:sz w:val="24"/>
                <w:szCs w:val="24"/>
              </w:rPr>
            </w:pPr>
            <w:r w:rsidRPr="009A0870">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bookmarkStart w:id="1" w:name="_GoBack"/>
            <w:bookmarkEnd w:id="1"/>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AA" w:rsidRDefault="00C95FAA" w:rsidP="00436383">
      <w:pPr>
        <w:spacing w:after="0" w:line="240" w:lineRule="auto"/>
      </w:pPr>
      <w:r>
        <w:separator/>
      </w:r>
    </w:p>
  </w:endnote>
  <w:endnote w:type="continuationSeparator" w:id="1">
    <w:p w:rsidR="00C95FAA" w:rsidRDefault="00C95FAA"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AA" w:rsidRDefault="00C95FAA" w:rsidP="00436383">
      <w:pPr>
        <w:spacing w:after="0" w:line="240" w:lineRule="auto"/>
      </w:pPr>
      <w:r>
        <w:separator/>
      </w:r>
    </w:p>
  </w:footnote>
  <w:footnote w:type="continuationSeparator" w:id="1">
    <w:p w:rsidR="00C95FAA" w:rsidRDefault="00C95FAA"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069F"/>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0870"/>
    <w:rsid w:val="009A2985"/>
    <w:rsid w:val="009B108E"/>
    <w:rsid w:val="009C5451"/>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5FAA"/>
    <w:rsid w:val="00C969BA"/>
    <w:rsid w:val="00CD0B16"/>
    <w:rsid w:val="00CD25F7"/>
    <w:rsid w:val="00CE3FE0"/>
    <w:rsid w:val="00CE6D6A"/>
    <w:rsid w:val="00CF0D35"/>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8986-6A8D-44F7-A76D-EC416E57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39</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97</cp:revision>
  <dcterms:created xsi:type="dcterms:W3CDTF">2021-08-16T05:48:00Z</dcterms:created>
  <dcterms:modified xsi:type="dcterms:W3CDTF">2021-08-30T13:36:00Z</dcterms:modified>
</cp:coreProperties>
</file>